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E4B1" w14:textId="7C1B3E5D" w:rsidR="0049350F" w:rsidRDefault="00276C61" w:rsidP="00276C61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Tropospheric Ozone Lidar Network (TOLNet) and Corresponding Suborbital Campaigns</w:t>
      </w:r>
    </w:p>
    <w:p w14:paraId="3C3474DD" w14:textId="225C62BE" w:rsidR="00276C61" w:rsidRDefault="00276C61" w:rsidP="00276C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This document/table highlights the various suborbital campaigns that TOLNet </w:t>
      </w:r>
      <w:r w:rsidR="00B06069">
        <w:rPr>
          <w:sz w:val="24"/>
          <w:szCs w:val="24"/>
        </w:rPr>
        <w:t xml:space="preserve">lidars </w:t>
      </w:r>
      <w:r>
        <w:rPr>
          <w:sz w:val="24"/>
          <w:szCs w:val="24"/>
        </w:rPr>
        <w:t>ha</w:t>
      </w:r>
      <w:r w:rsidR="00B06069">
        <w:rPr>
          <w:sz w:val="24"/>
          <w:szCs w:val="24"/>
        </w:rPr>
        <w:t>ve</w:t>
      </w:r>
      <w:r>
        <w:rPr>
          <w:sz w:val="24"/>
          <w:szCs w:val="24"/>
        </w:rPr>
        <w:t xml:space="preserve"> participated in and </w:t>
      </w:r>
      <w:r w:rsidRPr="00B06069">
        <w:rPr>
          <w:sz w:val="24"/>
          <w:szCs w:val="24"/>
        </w:rPr>
        <w:t>provides</w:t>
      </w:r>
      <w:r w:rsidR="00A236AE">
        <w:rPr>
          <w:sz w:val="24"/>
          <w:szCs w:val="24"/>
        </w:rPr>
        <w:t xml:space="preserve"> links to the </w:t>
      </w:r>
      <w:r w:rsidR="00B06069">
        <w:rPr>
          <w:sz w:val="24"/>
          <w:szCs w:val="24"/>
        </w:rPr>
        <w:t>respective</w:t>
      </w:r>
      <w:r w:rsidR="00BA0E09">
        <w:rPr>
          <w:sz w:val="24"/>
          <w:szCs w:val="24"/>
        </w:rPr>
        <w:t xml:space="preserve"> </w:t>
      </w:r>
      <w:r w:rsidR="00A236AE">
        <w:rPr>
          <w:sz w:val="24"/>
          <w:szCs w:val="24"/>
        </w:rPr>
        <w:t>TOLNet collection landing pages at the ASDC</w:t>
      </w:r>
      <w:r w:rsidR="00132C67">
        <w:rPr>
          <w:sz w:val="24"/>
          <w:szCs w:val="24"/>
        </w:rPr>
        <w:t xml:space="preserve">. </w:t>
      </w:r>
      <w:r w:rsidR="00A236AE">
        <w:rPr>
          <w:sz w:val="24"/>
          <w:szCs w:val="24"/>
        </w:rPr>
        <w:t xml:space="preserve">Data download options are provided on each page. Earthdata Search allows for narrowing down search results by date (date ranges are provided in the table). </w:t>
      </w:r>
      <w:r w:rsidR="004907E2">
        <w:rPr>
          <w:sz w:val="24"/>
          <w:szCs w:val="24"/>
        </w:rPr>
        <w:t xml:space="preserve">SOOT’s Power User Interface allows users to directly navigate to their files of interest. </w:t>
      </w:r>
      <w:r w:rsidR="00132C67">
        <w:rPr>
          <w:sz w:val="24"/>
          <w:szCs w:val="24"/>
        </w:rPr>
        <w:t>All acronyms are expanded on the table in the next page.</w:t>
      </w:r>
      <w:r>
        <w:rPr>
          <w:sz w:val="24"/>
          <w:szCs w:val="24"/>
        </w:rPr>
        <w:t xml:space="preserve"> </w:t>
      </w:r>
      <w:r w:rsidR="007D6BA0">
        <w:rPr>
          <w:sz w:val="24"/>
          <w:szCs w:val="24"/>
        </w:rPr>
        <w:t>This document will be updated as TOLNet participates in more field campaigns.</w:t>
      </w:r>
    </w:p>
    <w:tbl>
      <w:tblPr>
        <w:tblStyle w:val="GridTable4-Accent5"/>
        <w:tblW w:w="14400" w:type="dxa"/>
        <w:tblInd w:w="-725" w:type="dxa"/>
        <w:tblLook w:val="04A0" w:firstRow="1" w:lastRow="0" w:firstColumn="1" w:lastColumn="0" w:noHBand="0" w:noVBand="1"/>
      </w:tblPr>
      <w:tblGrid>
        <w:gridCol w:w="1890"/>
        <w:gridCol w:w="3060"/>
        <w:gridCol w:w="3960"/>
        <w:gridCol w:w="2880"/>
        <w:gridCol w:w="2610"/>
      </w:tblGrid>
      <w:tr w:rsidR="00307CE4" w:rsidRPr="00497870" w14:paraId="23975375" w14:textId="77777777" w:rsidTr="002417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48F474C" w14:textId="67D41007" w:rsidR="005213F0" w:rsidRPr="00497870" w:rsidRDefault="005213F0" w:rsidP="00276C61">
            <w:pPr>
              <w:jc w:val="center"/>
            </w:pPr>
            <w:r w:rsidRPr="00497870">
              <w:t>Suborbital Campaign</w:t>
            </w:r>
          </w:p>
        </w:tc>
        <w:tc>
          <w:tcPr>
            <w:tcW w:w="3060" w:type="dxa"/>
          </w:tcPr>
          <w:p w14:paraId="77AEED06" w14:textId="5C5B732D" w:rsidR="005213F0" w:rsidRPr="00497870" w:rsidRDefault="005213F0" w:rsidP="0027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Applicable TOLNet Lidars</w:t>
            </w:r>
          </w:p>
        </w:tc>
        <w:tc>
          <w:tcPr>
            <w:tcW w:w="3960" w:type="dxa"/>
          </w:tcPr>
          <w:p w14:paraId="0CC7E4C9" w14:textId="6BA7DFD4" w:rsidR="005213F0" w:rsidRPr="00497870" w:rsidRDefault="005213F0" w:rsidP="0027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TOLNet Lidar Location</w:t>
            </w:r>
          </w:p>
        </w:tc>
        <w:tc>
          <w:tcPr>
            <w:tcW w:w="2880" w:type="dxa"/>
          </w:tcPr>
          <w:p w14:paraId="6BA0B22F" w14:textId="3C1EE220" w:rsidR="005213F0" w:rsidRPr="00497870" w:rsidRDefault="005213F0" w:rsidP="0027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Dates</w:t>
            </w:r>
          </w:p>
        </w:tc>
        <w:tc>
          <w:tcPr>
            <w:tcW w:w="2610" w:type="dxa"/>
          </w:tcPr>
          <w:p w14:paraId="0EE093A3" w14:textId="143123A5" w:rsidR="005213F0" w:rsidRPr="00497870" w:rsidRDefault="005213F0" w:rsidP="00276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Link to Corresponding Suborbital Campaign Collection</w:t>
            </w:r>
          </w:p>
        </w:tc>
      </w:tr>
      <w:tr w:rsidR="00307CE4" w:rsidRPr="00497870" w14:paraId="148AFE44" w14:textId="77777777" w:rsidTr="0024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7F6966B9" w14:textId="35A8F999" w:rsidR="006B7DBB" w:rsidRPr="00497870" w:rsidRDefault="006B7DBB" w:rsidP="006B7DBB">
            <w:pPr>
              <w:jc w:val="center"/>
            </w:pPr>
            <w:r w:rsidRPr="00497870">
              <w:t>OWLETS-1</w:t>
            </w:r>
          </w:p>
        </w:tc>
        <w:tc>
          <w:tcPr>
            <w:tcW w:w="3060" w:type="dxa"/>
          </w:tcPr>
          <w:p w14:paraId="10916CF6" w14:textId="77777777" w:rsidR="006B7DBB" w:rsidRPr="00497870" w:rsidRDefault="006B7DBB" w:rsidP="006B7DBB">
            <w:pPr>
              <w:tabs>
                <w:tab w:val="center" w:pos="1692"/>
                <w:tab w:val="right" w:pos="338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ab/>
              <w:t xml:space="preserve">NASA GSFC TROPOZ </w:t>
            </w:r>
            <w:proofErr w:type="gramStart"/>
            <w:r w:rsidRPr="00497870">
              <w:t>Lidar;</w:t>
            </w:r>
            <w:proofErr w:type="gramEnd"/>
          </w:p>
          <w:p w14:paraId="0996C265" w14:textId="360DCBDF" w:rsidR="006B7DBB" w:rsidRPr="00497870" w:rsidRDefault="006B7DBB" w:rsidP="006B7DBB">
            <w:pPr>
              <w:tabs>
                <w:tab w:val="center" w:pos="1692"/>
                <w:tab w:val="right" w:pos="338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NASA </w:t>
            </w:r>
            <w:proofErr w:type="spellStart"/>
            <w:r w:rsidRPr="00497870">
              <w:t>LaRC</w:t>
            </w:r>
            <w:proofErr w:type="spellEnd"/>
            <w:r w:rsidRPr="00497870">
              <w:t xml:space="preserve"> LMOL</w:t>
            </w:r>
          </w:p>
        </w:tc>
        <w:tc>
          <w:tcPr>
            <w:tcW w:w="3960" w:type="dxa"/>
          </w:tcPr>
          <w:p w14:paraId="3012B6A1" w14:textId="77777777" w:rsidR="006B7DBB" w:rsidRPr="00497870" w:rsidRDefault="006B7DBB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TROPOZ: NASA </w:t>
            </w:r>
            <w:proofErr w:type="spellStart"/>
            <w:r w:rsidRPr="00497870">
              <w:t>LaRC</w:t>
            </w:r>
            <w:proofErr w:type="spellEnd"/>
            <w:r w:rsidRPr="00497870">
              <w:t xml:space="preserve"> ground site</w:t>
            </w:r>
          </w:p>
          <w:p w14:paraId="77AC417A" w14:textId="365E1C5A" w:rsidR="006B7DBB" w:rsidRPr="00497870" w:rsidRDefault="006B7DBB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LMOL: Chesapeake Bay Bridge-Tunnel</w:t>
            </w:r>
            <w:r w:rsidR="00E45BCD" w:rsidRPr="00497870">
              <w:t xml:space="preserve"> (CBBT)</w:t>
            </w:r>
          </w:p>
        </w:tc>
        <w:tc>
          <w:tcPr>
            <w:tcW w:w="2880" w:type="dxa"/>
          </w:tcPr>
          <w:p w14:paraId="4C71029D" w14:textId="77777777" w:rsidR="006B7DBB" w:rsidRPr="00497870" w:rsidRDefault="00307CE4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TROPOZ: July 7, 2017 – August 1, 2017</w:t>
            </w:r>
          </w:p>
          <w:p w14:paraId="2658ECA5" w14:textId="0C875173" w:rsidR="00307CE4" w:rsidRPr="00497870" w:rsidRDefault="00307CE4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LMOL: </w:t>
            </w:r>
            <w:r w:rsidR="0038536E" w:rsidRPr="00497870">
              <w:t>July 6, 2017 – August 1, 2017</w:t>
            </w:r>
          </w:p>
        </w:tc>
        <w:tc>
          <w:tcPr>
            <w:tcW w:w="2610" w:type="dxa"/>
          </w:tcPr>
          <w:p w14:paraId="224DF209" w14:textId="77777777" w:rsidR="006B7DBB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6" w:history="1">
              <w:r w:rsidR="0038536E" w:rsidRPr="00497870">
                <w:rPr>
                  <w:rStyle w:val="Hyperlink"/>
                </w:rPr>
                <w:t>OWLETS-1 Lidar Data at the ASDC</w:t>
              </w:r>
            </w:hyperlink>
          </w:p>
          <w:p w14:paraId="3B90F1BE" w14:textId="77777777" w:rsidR="00A236AE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" w:history="1">
              <w:r w:rsidR="00A236AE" w:rsidRPr="00497870">
                <w:rPr>
                  <w:rStyle w:val="Hyperlink"/>
                </w:rPr>
                <w:t>TROPOZ Lidar Data on SOOT</w:t>
              </w:r>
            </w:hyperlink>
          </w:p>
          <w:p w14:paraId="3C7B2B37" w14:textId="6D83E01A" w:rsidR="00A236AE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A236AE" w:rsidRPr="00497870">
                <w:rPr>
                  <w:rStyle w:val="Hyperlink"/>
                </w:rPr>
                <w:t>LMOL Data on SOOT</w:t>
              </w:r>
            </w:hyperlink>
          </w:p>
        </w:tc>
      </w:tr>
      <w:tr w:rsidR="00307CE4" w:rsidRPr="00497870" w14:paraId="5E4D4155" w14:textId="77777777" w:rsidTr="00241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3349278F" w14:textId="76E5E957" w:rsidR="006B7DBB" w:rsidRPr="00497870" w:rsidRDefault="006B7DBB" w:rsidP="006B7DBB">
            <w:pPr>
              <w:jc w:val="center"/>
            </w:pPr>
            <w:r w:rsidRPr="00497870">
              <w:t>OWLETS-2</w:t>
            </w:r>
          </w:p>
        </w:tc>
        <w:tc>
          <w:tcPr>
            <w:tcW w:w="3060" w:type="dxa"/>
          </w:tcPr>
          <w:p w14:paraId="702FD356" w14:textId="77777777" w:rsidR="006B7DBB" w:rsidRPr="00497870" w:rsidRDefault="006B7DBB" w:rsidP="006B7DBB">
            <w:pPr>
              <w:tabs>
                <w:tab w:val="center" w:pos="1692"/>
                <w:tab w:val="right" w:pos="338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ab/>
              <w:t xml:space="preserve">NASA GSFC TROPOZ </w:t>
            </w:r>
            <w:proofErr w:type="gramStart"/>
            <w:r w:rsidRPr="00497870">
              <w:t>Lidar;</w:t>
            </w:r>
            <w:proofErr w:type="gramEnd"/>
          </w:p>
          <w:p w14:paraId="187F5CE9" w14:textId="75CB8712" w:rsidR="006B7DBB" w:rsidRPr="00497870" w:rsidRDefault="006B7DBB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 xml:space="preserve">NASA </w:t>
            </w:r>
            <w:proofErr w:type="spellStart"/>
            <w:r w:rsidRPr="00497870">
              <w:t>LaRC</w:t>
            </w:r>
            <w:proofErr w:type="spellEnd"/>
            <w:r w:rsidRPr="00497870">
              <w:t xml:space="preserve"> LMOL</w:t>
            </w:r>
          </w:p>
        </w:tc>
        <w:tc>
          <w:tcPr>
            <w:tcW w:w="3960" w:type="dxa"/>
          </w:tcPr>
          <w:p w14:paraId="4E86C2E5" w14:textId="77777777" w:rsidR="006B7DBB" w:rsidRPr="00497870" w:rsidRDefault="00E45BCD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TROPOZ: University of Maryland</w:t>
            </w:r>
            <w:r w:rsidR="009150FF" w:rsidRPr="00497870">
              <w:t>, Baltimore County (UMBC)</w:t>
            </w:r>
          </w:p>
          <w:p w14:paraId="691C26D1" w14:textId="708E571F" w:rsidR="009150FF" w:rsidRPr="00497870" w:rsidRDefault="009150FF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LMOL: Hart-Miller Island (HMI)</w:t>
            </w:r>
          </w:p>
        </w:tc>
        <w:tc>
          <w:tcPr>
            <w:tcW w:w="2880" w:type="dxa"/>
          </w:tcPr>
          <w:p w14:paraId="02E3C8FC" w14:textId="0708E9C2" w:rsidR="00132C67" w:rsidRPr="00497870" w:rsidRDefault="00132C67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TROPOZ: June 7, 2018 – July 19, 2018</w:t>
            </w:r>
          </w:p>
          <w:p w14:paraId="780A0766" w14:textId="6F1B3C43" w:rsidR="006B7DBB" w:rsidRPr="00497870" w:rsidRDefault="00132C67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LMOL: May 23, 2018 – July 2, 2018</w:t>
            </w:r>
          </w:p>
        </w:tc>
        <w:tc>
          <w:tcPr>
            <w:tcW w:w="2610" w:type="dxa"/>
          </w:tcPr>
          <w:p w14:paraId="66A8774C" w14:textId="77777777" w:rsidR="006B7DBB" w:rsidRPr="00497870" w:rsidRDefault="00000000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" w:history="1">
              <w:r w:rsidR="00132C67" w:rsidRPr="00497870">
                <w:rPr>
                  <w:rStyle w:val="Hyperlink"/>
                </w:rPr>
                <w:t>OWLETS-2 Lidar Data at the ASDC</w:t>
              </w:r>
            </w:hyperlink>
          </w:p>
          <w:p w14:paraId="33CACE57" w14:textId="76DC1667" w:rsidR="00A236AE" w:rsidRPr="00497870" w:rsidRDefault="00000000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A236AE" w:rsidRPr="00497870">
                <w:rPr>
                  <w:rStyle w:val="Hyperlink"/>
                </w:rPr>
                <w:t>TROPOZ and LMOL Data on SOOT</w:t>
              </w:r>
            </w:hyperlink>
          </w:p>
        </w:tc>
      </w:tr>
      <w:tr w:rsidR="00307CE4" w:rsidRPr="00497870" w14:paraId="343DE321" w14:textId="77777777" w:rsidTr="0024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54D030DF" w14:textId="634982AD" w:rsidR="006B7DBB" w:rsidRPr="00497870" w:rsidRDefault="006B7DBB" w:rsidP="006B7DBB">
            <w:pPr>
              <w:jc w:val="center"/>
            </w:pPr>
            <w:r w:rsidRPr="00497870">
              <w:t>LISTOS</w:t>
            </w:r>
          </w:p>
        </w:tc>
        <w:tc>
          <w:tcPr>
            <w:tcW w:w="3060" w:type="dxa"/>
          </w:tcPr>
          <w:p w14:paraId="7A8D5209" w14:textId="77777777" w:rsidR="006B7DBB" w:rsidRPr="00497870" w:rsidRDefault="00307CE4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NASA GSFC TROPOZ </w:t>
            </w:r>
            <w:proofErr w:type="gramStart"/>
            <w:r w:rsidRPr="00497870">
              <w:t>Lidar;</w:t>
            </w:r>
            <w:proofErr w:type="gramEnd"/>
          </w:p>
          <w:p w14:paraId="51EFB06E" w14:textId="124181EE" w:rsidR="00307CE4" w:rsidRPr="00497870" w:rsidRDefault="00307CE4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NASA </w:t>
            </w:r>
            <w:proofErr w:type="spellStart"/>
            <w:r w:rsidRPr="00497870">
              <w:t>LaRC</w:t>
            </w:r>
            <w:proofErr w:type="spellEnd"/>
            <w:r w:rsidRPr="00497870">
              <w:t xml:space="preserve"> LMOL </w:t>
            </w:r>
          </w:p>
        </w:tc>
        <w:tc>
          <w:tcPr>
            <w:tcW w:w="3960" w:type="dxa"/>
          </w:tcPr>
          <w:p w14:paraId="384E12B4" w14:textId="77777777" w:rsidR="006B7DBB" w:rsidRPr="00497870" w:rsidRDefault="00307CE4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TROPOZ: Rutgers Ground Site</w:t>
            </w:r>
          </w:p>
          <w:p w14:paraId="7350487F" w14:textId="77927CF8" w:rsidR="00307CE4" w:rsidRPr="00497870" w:rsidRDefault="00307CE4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LMOL: Westport Ground Site</w:t>
            </w:r>
          </w:p>
        </w:tc>
        <w:tc>
          <w:tcPr>
            <w:tcW w:w="2880" w:type="dxa"/>
          </w:tcPr>
          <w:p w14:paraId="2BE43DA7" w14:textId="6C79E637" w:rsidR="001125F3" w:rsidRPr="00497870" w:rsidRDefault="001125F3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TROPOZ: July 19, 2018 – August 17, 2018</w:t>
            </w:r>
          </w:p>
          <w:p w14:paraId="69FA167D" w14:textId="22838DD1" w:rsidR="006B7DBB" w:rsidRPr="00497870" w:rsidRDefault="001125F3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LMOL: July 12, 2018 – August 29, 2018</w:t>
            </w:r>
          </w:p>
        </w:tc>
        <w:tc>
          <w:tcPr>
            <w:tcW w:w="2610" w:type="dxa"/>
          </w:tcPr>
          <w:p w14:paraId="62875EB1" w14:textId="5BB4EEAC" w:rsidR="006B7DBB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1" w:history="1">
              <w:r w:rsidR="001125F3" w:rsidRPr="00497870">
                <w:rPr>
                  <w:rStyle w:val="Hyperlink"/>
                </w:rPr>
                <w:t>LISTOS Rutgers Ground Site at the ASDC (TROPOZ)</w:t>
              </w:r>
            </w:hyperlink>
          </w:p>
          <w:p w14:paraId="473517D2" w14:textId="1D3E7F2D" w:rsidR="00FB112F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history="1">
              <w:r w:rsidR="00FB112F" w:rsidRPr="00497870">
                <w:rPr>
                  <w:rStyle w:val="Hyperlink"/>
                </w:rPr>
                <w:t>TROPOZ Data on SOOT</w:t>
              </w:r>
            </w:hyperlink>
          </w:p>
          <w:p w14:paraId="540EB0C9" w14:textId="77777777" w:rsidR="001125F3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3" w:history="1">
              <w:r w:rsidR="001125F3" w:rsidRPr="00497870">
                <w:rPr>
                  <w:rStyle w:val="Hyperlink"/>
                </w:rPr>
                <w:t>LISTOS Westport Ground Site Data at the ASDC (LMOL)</w:t>
              </w:r>
            </w:hyperlink>
          </w:p>
          <w:p w14:paraId="3A3D980C" w14:textId="042019EE" w:rsidR="007D6BA0" w:rsidRPr="00497870" w:rsidRDefault="00000000" w:rsidP="007D6B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7D6BA0" w:rsidRPr="00497870">
                <w:rPr>
                  <w:rStyle w:val="Hyperlink"/>
                </w:rPr>
                <w:t>LMOL Data on SOOT</w:t>
              </w:r>
            </w:hyperlink>
          </w:p>
        </w:tc>
      </w:tr>
      <w:tr w:rsidR="00307CE4" w:rsidRPr="00497870" w14:paraId="1696C33F" w14:textId="77777777" w:rsidTr="00241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453F28D4" w14:textId="52773E82" w:rsidR="006B7DBB" w:rsidRPr="00497870" w:rsidRDefault="006B7DBB" w:rsidP="006B7DBB">
            <w:pPr>
              <w:jc w:val="center"/>
            </w:pPr>
            <w:r w:rsidRPr="00497870">
              <w:t>DISCOVER-AQ</w:t>
            </w:r>
          </w:p>
        </w:tc>
        <w:tc>
          <w:tcPr>
            <w:tcW w:w="3060" w:type="dxa"/>
          </w:tcPr>
          <w:p w14:paraId="015BA4F5" w14:textId="77777777" w:rsidR="006B7DBB" w:rsidRPr="00497870" w:rsidRDefault="00EA69D2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NASA GSFC TROPOZ Lidar</w:t>
            </w:r>
          </w:p>
          <w:p w14:paraId="230E1D91" w14:textId="244C9BE8" w:rsidR="00E439DC" w:rsidRPr="00497870" w:rsidRDefault="00E439DC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NOAA CSL TOPAZ Lidar</w:t>
            </w:r>
          </w:p>
        </w:tc>
        <w:tc>
          <w:tcPr>
            <w:tcW w:w="3960" w:type="dxa"/>
          </w:tcPr>
          <w:p w14:paraId="006D5C46" w14:textId="4B8F4A47" w:rsidR="00E439DC" w:rsidRPr="00497870" w:rsidRDefault="00EA69D2" w:rsidP="00E43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 xml:space="preserve">TROPOZ: Fort Collins, Colorado </w:t>
            </w:r>
          </w:p>
          <w:p w14:paraId="6F910144" w14:textId="76CBB861" w:rsidR="00E439DC" w:rsidRPr="00497870" w:rsidRDefault="00E439DC" w:rsidP="00E439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TOPAZ: BAO Tower, Colorado</w:t>
            </w:r>
          </w:p>
        </w:tc>
        <w:tc>
          <w:tcPr>
            <w:tcW w:w="2880" w:type="dxa"/>
          </w:tcPr>
          <w:p w14:paraId="1741394B" w14:textId="611AB5F3" w:rsidR="006B7DBB" w:rsidRPr="00497870" w:rsidRDefault="00EA69D2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TROPOZ</w:t>
            </w:r>
            <w:r w:rsidR="00E439DC" w:rsidRPr="00497870">
              <w:t xml:space="preserve"> Fort Collins</w:t>
            </w:r>
            <w:r w:rsidRPr="00497870">
              <w:t>: July 9, 2014 – August 2, 2014</w:t>
            </w:r>
          </w:p>
          <w:p w14:paraId="28EA7362" w14:textId="09263271" w:rsidR="00E439DC" w:rsidRPr="00497870" w:rsidRDefault="00E439DC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TOPAZ: July 9, 2014 – August 18, 2014</w:t>
            </w:r>
          </w:p>
        </w:tc>
        <w:tc>
          <w:tcPr>
            <w:tcW w:w="2610" w:type="dxa"/>
          </w:tcPr>
          <w:p w14:paraId="324CC0BC" w14:textId="274E9438" w:rsidR="00601B6F" w:rsidRPr="00497870" w:rsidRDefault="00000000" w:rsidP="00601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601B6F" w:rsidRPr="00497870">
                <w:rPr>
                  <w:rStyle w:val="Hyperlink"/>
                </w:rPr>
                <w:t>DISCOVER-AQ TROPOZ Data in the TOLNet Collection at the ASDC</w:t>
              </w:r>
            </w:hyperlink>
          </w:p>
          <w:p w14:paraId="7A2F11C5" w14:textId="77777777" w:rsidR="006B7DBB" w:rsidRPr="00497870" w:rsidRDefault="00000000" w:rsidP="00601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601B6F" w:rsidRPr="00497870">
                <w:rPr>
                  <w:rStyle w:val="Hyperlink"/>
                </w:rPr>
                <w:t>DISCOVER-AQ TOPAZ Data in the TOLNet Collection at the ASDC</w:t>
              </w:r>
            </w:hyperlink>
          </w:p>
          <w:p w14:paraId="45593CCF" w14:textId="004A24F2" w:rsidR="00497870" w:rsidRPr="00497870" w:rsidRDefault="00000000" w:rsidP="00601B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497870" w:rsidRPr="00497870">
                <w:rPr>
                  <w:rStyle w:val="Hyperlink"/>
                </w:rPr>
                <w:t>TOPAZ Data on SOOT</w:t>
              </w:r>
            </w:hyperlink>
          </w:p>
        </w:tc>
      </w:tr>
      <w:tr w:rsidR="00307CE4" w:rsidRPr="00497870" w14:paraId="665622ED" w14:textId="77777777" w:rsidTr="0024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477C4C8" w14:textId="373FE9B2" w:rsidR="006B7DBB" w:rsidRPr="00497870" w:rsidRDefault="006B7DBB" w:rsidP="006B7DBB">
            <w:pPr>
              <w:jc w:val="center"/>
            </w:pPr>
            <w:r w:rsidRPr="00497870">
              <w:lastRenderedPageBreak/>
              <w:t>KORUS-AQ</w:t>
            </w:r>
          </w:p>
        </w:tc>
        <w:tc>
          <w:tcPr>
            <w:tcW w:w="3060" w:type="dxa"/>
          </w:tcPr>
          <w:p w14:paraId="01C4E4EE" w14:textId="54ABF3EC" w:rsidR="006B7DBB" w:rsidRPr="00497870" w:rsidRDefault="009D2E86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NASA GSFC TROPOZ Lidar</w:t>
            </w:r>
          </w:p>
        </w:tc>
        <w:tc>
          <w:tcPr>
            <w:tcW w:w="3960" w:type="dxa"/>
          </w:tcPr>
          <w:p w14:paraId="798F41BE" w14:textId="4E7BBE75" w:rsidR="006B7DBB" w:rsidRPr="00497870" w:rsidRDefault="009D2E86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NIER </w:t>
            </w:r>
            <w:proofErr w:type="spellStart"/>
            <w:r w:rsidRPr="00497870">
              <w:t>Taehwa</w:t>
            </w:r>
            <w:proofErr w:type="spellEnd"/>
            <w:r w:rsidRPr="00497870">
              <w:t xml:space="preserve"> Ground Site – South Korea</w:t>
            </w:r>
          </w:p>
        </w:tc>
        <w:tc>
          <w:tcPr>
            <w:tcW w:w="2880" w:type="dxa"/>
          </w:tcPr>
          <w:p w14:paraId="07DA1A94" w14:textId="47C7D625" w:rsidR="006B7DBB" w:rsidRPr="00497870" w:rsidRDefault="009D2E86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TROPOZ: April 25, 2016 – June 10, 2016</w:t>
            </w:r>
          </w:p>
        </w:tc>
        <w:tc>
          <w:tcPr>
            <w:tcW w:w="2610" w:type="dxa"/>
          </w:tcPr>
          <w:p w14:paraId="553A503E" w14:textId="288AA71A" w:rsidR="006B7DBB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4326C2" w:rsidRPr="00497870">
                <w:rPr>
                  <w:rStyle w:val="Hyperlink"/>
                </w:rPr>
                <w:t>KORUS-AQ NASA Ground Site Data at the ASDC</w:t>
              </w:r>
            </w:hyperlink>
          </w:p>
        </w:tc>
      </w:tr>
      <w:tr w:rsidR="00307CE4" w:rsidRPr="00497870" w14:paraId="29707757" w14:textId="77777777" w:rsidTr="002417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1186C3B4" w14:textId="4E8096E9" w:rsidR="006B7DBB" w:rsidRPr="00497870" w:rsidRDefault="006B7DBB" w:rsidP="006B7DBB">
            <w:pPr>
              <w:jc w:val="center"/>
            </w:pPr>
            <w:r w:rsidRPr="00497870">
              <w:t>TRACER-AQ</w:t>
            </w:r>
          </w:p>
        </w:tc>
        <w:tc>
          <w:tcPr>
            <w:tcW w:w="3060" w:type="dxa"/>
          </w:tcPr>
          <w:p w14:paraId="34C56841" w14:textId="77777777" w:rsidR="008241DB" w:rsidRPr="00497870" w:rsidRDefault="008241DB" w:rsidP="0082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 xml:space="preserve">NASA GSFC TROPOZ </w:t>
            </w:r>
            <w:proofErr w:type="gramStart"/>
            <w:r w:rsidRPr="00497870">
              <w:t>Lidar;</w:t>
            </w:r>
            <w:proofErr w:type="gramEnd"/>
          </w:p>
          <w:p w14:paraId="7A0E8F8D" w14:textId="143D5F4E" w:rsidR="006B7DBB" w:rsidRPr="00497870" w:rsidRDefault="008241DB" w:rsidP="00824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 xml:space="preserve">NASA </w:t>
            </w:r>
            <w:proofErr w:type="spellStart"/>
            <w:r w:rsidRPr="00497870">
              <w:t>LaRC</w:t>
            </w:r>
            <w:proofErr w:type="spellEnd"/>
            <w:r w:rsidRPr="00497870">
              <w:t xml:space="preserve"> LMOL</w:t>
            </w:r>
          </w:p>
        </w:tc>
        <w:tc>
          <w:tcPr>
            <w:tcW w:w="3960" w:type="dxa"/>
          </w:tcPr>
          <w:p w14:paraId="2C4DA142" w14:textId="3C928BBF" w:rsidR="006B7DBB" w:rsidRPr="00497870" w:rsidRDefault="008241DB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TROPOZ: La Porte, Texas</w:t>
            </w:r>
          </w:p>
          <w:p w14:paraId="1BA61926" w14:textId="3D40898F" w:rsidR="008241DB" w:rsidRPr="00497870" w:rsidRDefault="008241DB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 xml:space="preserve">LMOL: </w:t>
            </w:r>
            <w:r w:rsidR="00614BC4" w:rsidRPr="00497870">
              <w:t>University of Houston, Houston, Texas</w:t>
            </w:r>
          </w:p>
        </w:tc>
        <w:tc>
          <w:tcPr>
            <w:tcW w:w="2880" w:type="dxa"/>
          </w:tcPr>
          <w:p w14:paraId="6EBD5810" w14:textId="332632C9" w:rsidR="006B7DBB" w:rsidRPr="00497870" w:rsidRDefault="00614BC4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TROPOZ:</w:t>
            </w:r>
            <w:r w:rsidR="00FC4584" w:rsidRPr="00497870">
              <w:t xml:space="preserve"> August 30, 2021 – September 28, 2021</w:t>
            </w:r>
          </w:p>
          <w:p w14:paraId="4E1F8345" w14:textId="396CC605" w:rsidR="00614BC4" w:rsidRPr="00497870" w:rsidRDefault="00614BC4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7870">
              <w:t>LMOL:</w:t>
            </w:r>
            <w:r w:rsidR="00FC4584" w:rsidRPr="00497870">
              <w:t xml:space="preserve"> August 26, 2021 – September 27, 2021</w:t>
            </w:r>
          </w:p>
        </w:tc>
        <w:tc>
          <w:tcPr>
            <w:tcW w:w="2610" w:type="dxa"/>
          </w:tcPr>
          <w:p w14:paraId="5F3FD54D" w14:textId="5B5FC0D1" w:rsidR="006B7DBB" w:rsidRPr="00497870" w:rsidRDefault="00000000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CC4556" w:rsidRPr="00497870">
                <w:rPr>
                  <w:rStyle w:val="Hyperlink"/>
                </w:rPr>
                <w:t>TRACER-AQ TROPOZ Data in the TOLNet Collection at the ASDC</w:t>
              </w:r>
            </w:hyperlink>
          </w:p>
          <w:p w14:paraId="29FBDE50" w14:textId="43286FF1" w:rsidR="00CC4556" w:rsidRPr="00497870" w:rsidRDefault="00000000" w:rsidP="006B7D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CC4556" w:rsidRPr="00497870">
                <w:rPr>
                  <w:rStyle w:val="Hyperlink"/>
                </w:rPr>
                <w:t>TRACER-AQ LMOL Data in the TOLNet Collection at the ASDC</w:t>
              </w:r>
            </w:hyperlink>
          </w:p>
        </w:tc>
      </w:tr>
      <w:tr w:rsidR="00307CE4" w:rsidRPr="00497870" w14:paraId="055C8FBB" w14:textId="77777777" w:rsidTr="00241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0D0B6B18" w14:textId="0952E23D" w:rsidR="006B7DBB" w:rsidRPr="00497870" w:rsidRDefault="006B7DBB" w:rsidP="006B7DBB">
            <w:pPr>
              <w:jc w:val="center"/>
            </w:pPr>
            <w:r w:rsidRPr="00497870">
              <w:t>STAQS</w:t>
            </w:r>
          </w:p>
        </w:tc>
        <w:tc>
          <w:tcPr>
            <w:tcW w:w="3060" w:type="dxa"/>
          </w:tcPr>
          <w:p w14:paraId="75F7506D" w14:textId="77777777" w:rsidR="006B7DBB" w:rsidRPr="00497870" w:rsidRDefault="00942A65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CCNY Lidar</w:t>
            </w:r>
          </w:p>
          <w:p w14:paraId="103939EC" w14:textId="2F1376D2" w:rsidR="00990D3D" w:rsidRPr="00497870" w:rsidRDefault="00990D3D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NASA GSFC TROPOZ</w:t>
            </w:r>
            <w:r w:rsidR="00521A7F" w:rsidRPr="00497870">
              <w:t xml:space="preserve"> Lidar</w:t>
            </w:r>
          </w:p>
          <w:p w14:paraId="16D71461" w14:textId="7983009E" w:rsidR="00521A7F" w:rsidRPr="00497870" w:rsidRDefault="00521A7F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NASA JPL SMOL Lidars</w:t>
            </w:r>
          </w:p>
          <w:p w14:paraId="4BE6827E" w14:textId="5A7EBDFA" w:rsidR="00521A7F" w:rsidRPr="00497870" w:rsidRDefault="00521A7F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NASA </w:t>
            </w:r>
            <w:proofErr w:type="spellStart"/>
            <w:r w:rsidRPr="00497870">
              <w:t>LaRC</w:t>
            </w:r>
            <w:proofErr w:type="spellEnd"/>
            <w:r w:rsidRPr="00497870">
              <w:t xml:space="preserve"> LMOL</w:t>
            </w:r>
          </w:p>
          <w:p w14:paraId="725AA635" w14:textId="70B5290A" w:rsidR="00990D3D" w:rsidRPr="00497870" w:rsidRDefault="00990D3D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NOAA CSL</w:t>
            </w:r>
            <w:r w:rsidR="00D32E65" w:rsidRPr="00497870">
              <w:t xml:space="preserve"> TOPAZ</w:t>
            </w:r>
            <w:r w:rsidR="00521A7F" w:rsidRPr="00497870">
              <w:t xml:space="preserve"> Lidar</w:t>
            </w:r>
          </w:p>
          <w:p w14:paraId="0A183610" w14:textId="5967030E" w:rsidR="00990D3D" w:rsidRPr="00497870" w:rsidRDefault="00990D3D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UAH RO</w:t>
            </w:r>
            <w:r w:rsidR="00521A7F" w:rsidRPr="00497870">
              <w:t>3QET Lidar</w:t>
            </w:r>
          </w:p>
        </w:tc>
        <w:tc>
          <w:tcPr>
            <w:tcW w:w="3960" w:type="dxa"/>
          </w:tcPr>
          <w:p w14:paraId="6CCE791C" w14:textId="77777777" w:rsidR="006B7DBB" w:rsidRPr="00497870" w:rsidRDefault="00942A65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CCNY: New York, New York</w:t>
            </w:r>
          </w:p>
          <w:p w14:paraId="5CD2E804" w14:textId="731AA001" w:rsidR="002142F7" w:rsidRPr="00497870" w:rsidRDefault="00324F1A" w:rsidP="002142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TROPOZ:</w:t>
            </w:r>
            <w:r w:rsidR="002142F7" w:rsidRPr="00497870">
              <w:t xml:space="preserve"> Oldfield, New York</w:t>
            </w:r>
          </w:p>
          <w:p w14:paraId="25466D88" w14:textId="386D86A3" w:rsidR="00324F1A" w:rsidRPr="00497870" w:rsidRDefault="00324F1A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JPL: Table Mountain, California; JPL/Pasadena, California; San Bernardino/Cal State, California </w:t>
            </w:r>
          </w:p>
          <w:p w14:paraId="2D7F7DB7" w14:textId="22A1EAB3" w:rsidR="00324F1A" w:rsidRPr="00497870" w:rsidRDefault="00324F1A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LMOL:</w:t>
            </w:r>
            <w:r w:rsidR="00824A9F" w:rsidRPr="00497870">
              <w:t xml:space="preserve"> Sherwood Island, Connecticut</w:t>
            </w:r>
          </w:p>
          <w:p w14:paraId="5FFA70FE" w14:textId="143CECEC" w:rsidR="00324F1A" w:rsidRPr="00497870" w:rsidRDefault="00D32E65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TOPAZ</w:t>
            </w:r>
            <w:r w:rsidR="00324F1A" w:rsidRPr="00497870">
              <w:t>:</w:t>
            </w:r>
            <w:r w:rsidR="002801FB" w:rsidRPr="00497870">
              <w:t xml:space="preserve"> Yale Coastal</w:t>
            </w:r>
            <w:r w:rsidR="00824A9F" w:rsidRPr="00497870">
              <w:t xml:space="preserve"> Field Site, Guildford, Connecticut</w:t>
            </w:r>
          </w:p>
          <w:p w14:paraId="5DDEBC15" w14:textId="64FBD5FD" w:rsidR="00324F1A" w:rsidRPr="00497870" w:rsidRDefault="00324F1A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RO3QET:</w:t>
            </w:r>
            <w:r w:rsidR="00242628" w:rsidRPr="00497870">
              <w:t xml:space="preserve"> Huntsville, Alabama</w:t>
            </w:r>
          </w:p>
        </w:tc>
        <w:tc>
          <w:tcPr>
            <w:tcW w:w="2880" w:type="dxa"/>
          </w:tcPr>
          <w:p w14:paraId="57816E2A" w14:textId="4A09EF28" w:rsidR="006B7DBB" w:rsidRPr="00497870" w:rsidRDefault="00942A65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CCNY:</w:t>
            </w:r>
            <w:r w:rsidR="00831F37" w:rsidRPr="00497870">
              <w:t xml:space="preserve"> June 29. 2023 – August 31, 2023</w:t>
            </w:r>
          </w:p>
          <w:p w14:paraId="7A28B03D" w14:textId="60D8F15C" w:rsidR="00E462A9" w:rsidRPr="00497870" w:rsidRDefault="00E462A9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TROPOZ:</w:t>
            </w:r>
          </w:p>
          <w:p w14:paraId="239B536D" w14:textId="77777777" w:rsidR="00324F1A" w:rsidRPr="00497870" w:rsidRDefault="00324F1A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 xml:space="preserve">JPL TMF: August 22, </w:t>
            </w:r>
            <w:r w:rsidR="00DA2003" w:rsidRPr="00497870">
              <w:t>2023 – August 27, 2023</w:t>
            </w:r>
          </w:p>
          <w:p w14:paraId="2CC3BF44" w14:textId="65ADF8E6" w:rsidR="00DA2003" w:rsidRPr="00497870" w:rsidRDefault="00DA2003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JPL SMOL</w:t>
            </w:r>
            <w:r w:rsidR="00B127D2" w:rsidRPr="00497870">
              <w:t>-1 (Pasadena)</w:t>
            </w:r>
            <w:r w:rsidRPr="00497870">
              <w:t>:</w:t>
            </w:r>
            <w:r w:rsidR="00B127D2" w:rsidRPr="00497870">
              <w:t xml:space="preserve"> June 25, 2023 – September 7, 2023*</w:t>
            </w:r>
          </w:p>
          <w:p w14:paraId="6C0A2292" w14:textId="77777777" w:rsidR="00B127D2" w:rsidRPr="00497870" w:rsidRDefault="00B127D2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JPL SMOL-1 (San Bernardino): June 23, 2023 – September 1, 2023*</w:t>
            </w:r>
          </w:p>
          <w:p w14:paraId="3CD530DD" w14:textId="53BDBFE8" w:rsidR="00E462A9" w:rsidRPr="00497870" w:rsidRDefault="00E462A9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LMOL:</w:t>
            </w:r>
            <w:r w:rsidR="002801FB" w:rsidRPr="00497870">
              <w:t xml:space="preserve"> </w:t>
            </w:r>
            <w:r w:rsidR="00824A9F" w:rsidRPr="00497870">
              <w:t>July 17, 2023 – August 26, 2023</w:t>
            </w:r>
          </w:p>
          <w:p w14:paraId="61B60CF4" w14:textId="6A138735" w:rsidR="00E462A9" w:rsidRPr="00497870" w:rsidRDefault="00E462A9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CSL:</w:t>
            </w:r>
            <w:r w:rsidR="00824A9F" w:rsidRPr="00497870">
              <w:t xml:space="preserve"> July 4, 2023 – August 14, 2023</w:t>
            </w:r>
          </w:p>
          <w:p w14:paraId="44E25B47" w14:textId="51DD80AF" w:rsidR="00E462A9" w:rsidRPr="00497870" w:rsidRDefault="00E462A9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7870">
              <w:t>RO3QET:</w:t>
            </w:r>
            <w:r w:rsidR="001C2469" w:rsidRPr="00497870">
              <w:t xml:space="preserve"> July 18, 2023 – August 16, 2023</w:t>
            </w:r>
          </w:p>
        </w:tc>
        <w:tc>
          <w:tcPr>
            <w:tcW w:w="2610" w:type="dxa"/>
          </w:tcPr>
          <w:p w14:paraId="2CFD6C38" w14:textId="77777777" w:rsidR="006B7DBB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 w:history="1">
              <w:r w:rsidR="00990D3D" w:rsidRPr="00497870">
                <w:rPr>
                  <w:rStyle w:val="Hyperlink"/>
                </w:rPr>
                <w:t>STAQS CCNY Data in the TOLNet Collection at the ASDC</w:t>
              </w:r>
            </w:hyperlink>
          </w:p>
          <w:p w14:paraId="4AE576CD" w14:textId="0C34D1DA" w:rsidR="002142F7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2142F7" w:rsidRPr="00497870">
                <w:rPr>
                  <w:rStyle w:val="Hyperlink"/>
                </w:rPr>
                <w:t>STAQS TROPOZ Data in the TOLNet Collection at the ASDC</w:t>
              </w:r>
            </w:hyperlink>
          </w:p>
          <w:p w14:paraId="3659F5B7" w14:textId="5F7948A9" w:rsidR="00E462A9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E462A9" w:rsidRPr="00497870">
                <w:rPr>
                  <w:rStyle w:val="Hyperlink"/>
                </w:rPr>
                <w:t>STAQS JPL Data in the TOLNet Collection at the ASDC</w:t>
              </w:r>
            </w:hyperlink>
          </w:p>
          <w:p w14:paraId="28574E8F" w14:textId="1F9D6B04" w:rsidR="002142F7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history="1">
              <w:r w:rsidR="002142F7" w:rsidRPr="00497870">
                <w:rPr>
                  <w:rStyle w:val="Hyperlink"/>
                </w:rPr>
                <w:t>STAQS LMOL Data in the TOLNet Collection at the ASDC</w:t>
              </w:r>
            </w:hyperlink>
          </w:p>
          <w:p w14:paraId="751F3CEF" w14:textId="04AACBE5" w:rsidR="00D32E65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D32E65" w:rsidRPr="00497870">
                <w:rPr>
                  <w:rStyle w:val="Hyperlink"/>
                </w:rPr>
                <w:t>STAQS TOPAZ Data in the TOLNet Collection at the ASDC</w:t>
              </w:r>
            </w:hyperlink>
          </w:p>
          <w:p w14:paraId="302E9459" w14:textId="0FD4362F" w:rsidR="00D32E65" w:rsidRPr="00497870" w:rsidRDefault="00000000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 w:rsidR="00D32E65" w:rsidRPr="00497870">
                <w:rPr>
                  <w:rStyle w:val="Hyperlink"/>
                </w:rPr>
                <w:t>STAQS RO3QET Data in the TOLNet Collection at the ASDC</w:t>
              </w:r>
            </w:hyperlink>
          </w:p>
          <w:p w14:paraId="3AD490FA" w14:textId="43F85164" w:rsidR="002142F7" w:rsidRPr="00497870" w:rsidRDefault="002142F7" w:rsidP="006B7D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4BB285" w14:textId="7BEA2DE5" w:rsidR="00276C61" w:rsidRDefault="00276C61" w:rsidP="00276C61">
      <w:pPr>
        <w:jc w:val="center"/>
        <w:rPr>
          <w:sz w:val="24"/>
          <w:szCs w:val="24"/>
        </w:rPr>
      </w:pPr>
    </w:p>
    <w:p w14:paraId="5250F759" w14:textId="44DF811A" w:rsidR="00BA0E09" w:rsidRDefault="00B127D2" w:rsidP="00C618CF">
      <w:pPr>
        <w:rPr>
          <w:sz w:val="24"/>
          <w:szCs w:val="24"/>
        </w:rPr>
      </w:pPr>
      <w:r>
        <w:rPr>
          <w:sz w:val="24"/>
          <w:szCs w:val="24"/>
        </w:rPr>
        <w:t>*Indicates data is not available for each date in date range</w:t>
      </w:r>
    </w:p>
    <w:p w14:paraId="43D96E1F" w14:textId="77777777" w:rsidR="00497870" w:rsidRDefault="00497870" w:rsidP="00C618CF">
      <w:pPr>
        <w:rPr>
          <w:sz w:val="24"/>
          <w:szCs w:val="24"/>
        </w:rPr>
      </w:pPr>
    </w:p>
    <w:p w14:paraId="65CEC827" w14:textId="77777777" w:rsidR="00497870" w:rsidRDefault="00497870" w:rsidP="00C618CF">
      <w:pPr>
        <w:rPr>
          <w:sz w:val="24"/>
          <w:szCs w:val="24"/>
        </w:rPr>
      </w:pPr>
    </w:p>
    <w:p w14:paraId="61EF975C" w14:textId="07626BD0" w:rsidR="00C618CF" w:rsidRDefault="00C618CF" w:rsidP="00C618CF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Acronym 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740"/>
      </w:tblGrid>
      <w:tr w:rsidR="00934C74" w14:paraId="0C40B2DE" w14:textId="77777777" w:rsidTr="00DC6983">
        <w:tc>
          <w:tcPr>
            <w:tcW w:w="2515" w:type="dxa"/>
          </w:tcPr>
          <w:p w14:paraId="62548580" w14:textId="0655FE89" w:rsidR="00934C74" w:rsidRPr="00DC6983" w:rsidRDefault="00934C74" w:rsidP="00DC6983">
            <w:pPr>
              <w:rPr>
                <w:b/>
                <w:bCs/>
                <w:sz w:val="24"/>
                <w:szCs w:val="24"/>
              </w:rPr>
            </w:pPr>
            <w:r w:rsidRPr="00DC6983">
              <w:rPr>
                <w:b/>
                <w:bCs/>
                <w:sz w:val="24"/>
                <w:szCs w:val="24"/>
              </w:rPr>
              <w:t>Acronym</w:t>
            </w:r>
          </w:p>
        </w:tc>
        <w:tc>
          <w:tcPr>
            <w:tcW w:w="7740" w:type="dxa"/>
          </w:tcPr>
          <w:p w14:paraId="5F9257D7" w14:textId="13D99237" w:rsidR="00934C74" w:rsidRPr="00DC6983" w:rsidRDefault="00934C74" w:rsidP="00DC6983">
            <w:pPr>
              <w:rPr>
                <w:b/>
                <w:bCs/>
                <w:sz w:val="24"/>
                <w:szCs w:val="24"/>
              </w:rPr>
            </w:pPr>
            <w:r w:rsidRPr="00DC6983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0B06069" w14:paraId="3C7A3A96" w14:textId="77777777" w:rsidTr="00DC6983">
        <w:tc>
          <w:tcPr>
            <w:tcW w:w="2515" w:type="dxa"/>
          </w:tcPr>
          <w:p w14:paraId="10E038D8" w14:textId="2F24C20C" w:rsidR="00B06069" w:rsidRDefault="00B06069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CBBT</w:t>
            </w:r>
          </w:p>
        </w:tc>
        <w:tc>
          <w:tcPr>
            <w:tcW w:w="7740" w:type="dxa"/>
          </w:tcPr>
          <w:p w14:paraId="04F169F3" w14:textId="7E770DFC" w:rsidR="00B06069" w:rsidRDefault="00B06069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Chesapeake Bay Bridge Tunnel</w:t>
            </w:r>
          </w:p>
        </w:tc>
      </w:tr>
      <w:tr w:rsidR="00990D3D" w14:paraId="248DBAA0" w14:textId="77777777" w:rsidTr="00DC6983">
        <w:tc>
          <w:tcPr>
            <w:tcW w:w="2515" w:type="dxa"/>
          </w:tcPr>
          <w:p w14:paraId="0E970428" w14:textId="6CA2FC2C" w:rsidR="00990D3D" w:rsidRDefault="00990D3D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CCNY</w:t>
            </w:r>
          </w:p>
        </w:tc>
        <w:tc>
          <w:tcPr>
            <w:tcW w:w="7740" w:type="dxa"/>
          </w:tcPr>
          <w:p w14:paraId="52871DC4" w14:textId="0FA081FB" w:rsidR="00990D3D" w:rsidRDefault="00990D3D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College of New York</w:t>
            </w:r>
          </w:p>
        </w:tc>
      </w:tr>
      <w:tr w:rsidR="00E462A9" w14:paraId="43C68398" w14:textId="77777777" w:rsidTr="00DC6983">
        <w:tc>
          <w:tcPr>
            <w:tcW w:w="2515" w:type="dxa"/>
          </w:tcPr>
          <w:p w14:paraId="737209D8" w14:textId="6042936C" w:rsidR="00E462A9" w:rsidRDefault="00E462A9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</w:t>
            </w:r>
          </w:p>
        </w:tc>
        <w:tc>
          <w:tcPr>
            <w:tcW w:w="7740" w:type="dxa"/>
          </w:tcPr>
          <w:p w14:paraId="78F0AA69" w14:textId="7857F636" w:rsidR="00E462A9" w:rsidRDefault="00E3257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Sciences Laboratory</w:t>
            </w:r>
          </w:p>
        </w:tc>
      </w:tr>
      <w:tr w:rsidR="00934C74" w14:paraId="02906C59" w14:textId="77777777" w:rsidTr="00DC6983">
        <w:tc>
          <w:tcPr>
            <w:tcW w:w="2515" w:type="dxa"/>
          </w:tcPr>
          <w:p w14:paraId="291AA75F" w14:textId="0035F064" w:rsidR="00934C74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DISCOVER-AQ</w:t>
            </w:r>
          </w:p>
        </w:tc>
        <w:tc>
          <w:tcPr>
            <w:tcW w:w="7740" w:type="dxa"/>
          </w:tcPr>
          <w:p w14:paraId="7E93AE3E" w14:textId="49E76BED" w:rsidR="00934C74" w:rsidRDefault="00DC6983" w:rsidP="00C618CF">
            <w:pPr>
              <w:rPr>
                <w:sz w:val="24"/>
                <w:szCs w:val="24"/>
              </w:rPr>
            </w:pPr>
            <w:r w:rsidRPr="00DC6983">
              <w:rPr>
                <w:sz w:val="24"/>
                <w:szCs w:val="24"/>
              </w:rPr>
              <w:t>Deriving Information on Surface Conditions from Column and Vertically Resolved Observations Relevant to Air Quality</w:t>
            </w:r>
          </w:p>
        </w:tc>
      </w:tr>
      <w:tr w:rsidR="006B7DBB" w14:paraId="1E0CA65B" w14:textId="77777777" w:rsidTr="00DC6983">
        <w:tc>
          <w:tcPr>
            <w:tcW w:w="2515" w:type="dxa"/>
          </w:tcPr>
          <w:p w14:paraId="61F18B68" w14:textId="375D3BF4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GSFC</w:t>
            </w:r>
          </w:p>
        </w:tc>
        <w:tc>
          <w:tcPr>
            <w:tcW w:w="7740" w:type="dxa"/>
          </w:tcPr>
          <w:p w14:paraId="0A7DFAD6" w14:textId="00D87222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Goddard Space Flight Center</w:t>
            </w:r>
          </w:p>
        </w:tc>
      </w:tr>
      <w:tr w:rsidR="009150FF" w14:paraId="26F7DA38" w14:textId="77777777" w:rsidTr="00DC6983">
        <w:tc>
          <w:tcPr>
            <w:tcW w:w="2515" w:type="dxa"/>
          </w:tcPr>
          <w:p w14:paraId="6ADFBFE7" w14:textId="0EBEA080" w:rsidR="009150FF" w:rsidRDefault="009150FF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HMI</w:t>
            </w:r>
          </w:p>
        </w:tc>
        <w:tc>
          <w:tcPr>
            <w:tcW w:w="7740" w:type="dxa"/>
          </w:tcPr>
          <w:p w14:paraId="24D1FD87" w14:textId="52B4D2B1" w:rsidR="009150FF" w:rsidRDefault="009150FF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Hart-Miller Island</w:t>
            </w:r>
          </w:p>
        </w:tc>
      </w:tr>
      <w:tr w:rsidR="00242628" w14:paraId="449D782D" w14:textId="77777777" w:rsidTr="00DC6983">
        <w:tc>
          <w:tcPr>
            <w:tcW w:w="2515" w:type="dxa"/>
          </w:tcPr>
          <w:p w14:paraId="094FF403" w14:textId="69AA1608" w:rsidR="00242628" w:rsidRDefault="00242628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JPL</w:t>
            </w:r>
          </w:p>
        </w:tc>
        <w:tc>
          <w:tcPr>
            <w:tcW w:w="7740" w:type="dxa"/>
          </w:tcPr>
          <w:p w14:paraId="5B50C4DF" w14:textId="611678C1" w:rsidR="00242628" w:rsidRDefault="00E3257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Jet Propulsion Laboratory</w:t>
            </w:r>
          </w:p>
        </w:tc>
      </w:tr>
      <w:tr w:rsidR="00934C74" w14:paraId="675351C1" w14:textId="77777777" w:rsidTr="00DC6983">
        <w:tc>
          <w:tcPr>
            <w:tcW w:w="2515" w:type="dxa"/>
          </w:tcPr>
          <w:p w14:paraId="3C35108E" w14:textId="3F40EB4C" w:rsidR="00934C74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KORUS-AQ</w:t>
            </w:r>
          </w:p>
        </w:tc>
        <w:tc>
          <w:tcPr>
            <w:tcW w:w="7740" w:type="dxa"/>
          </w:tcPr>
          <w:p w14:paraId="5AC8E057" w14:textId="1B9F7CC8" w:rsidR="00934C74" w:rsidRDefault="00560545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Korea United States Air Quality Study</w:t>
            </w:r>
          </w:p>
        </w:tc>
      </w:tr>
      <w:tr w:rsidR="006B7DBB" w14:paraId="00E4C30F" w14:textId="77777777" w:rsidTr="00DC6983">
        <w:tc>
          <w:tcPr>
            <w:tcW w:w="2515" w:type="dxa"/>
          </w:tcPr>
          <w:p w14:paraId="02014F78" w14:textId="6897A671" w:rsidR="006B7DBB" w:rsidRDefault="006B7DBB" w:rsidP="00C618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LaRC</w:t>
            </w:r>
            <w:proofErr w:type="spellEnd"/>
          </w:p>
        </w:tc>
        <w:tc>
          <w:tcPr>
            <w:tcW w:w="7740" w:type="dxa"/>
          </w:tcPr>
          <w:p w14:paraId="075271CF" w14:textId="009A5AA4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Langley Research Center</w:t>
            </w:r>
          </w:p>
        </w:tc>
      </w:tr>
      <w:tr w:rsidR="00934C74" w14:paraId="4C64738F" w14:textId="77777777" w:rsidTr="00DC6983">
        <w:tc>
          <w:tcPr>
            <w:tcW w:w="2515" w:type="dxa"/>
          </w:tcPr>
          <w:p w14:paraId="02744564" w14:textId="29608BF3" w:rsidR="00934C74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LISTOS</w:t>
            </w:r>
          </w:p>
        </w:tc>
        <w:tc>
          <w:tcPr>
            <w:tcW w:w="7740" w:type="dxa"/>
          </w:tcPr>
          <w:p w14:paraId="4196AC80" w14:textId="35496C4A" w:rsidR="00934C74" w:rsidRDefault="00560545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Island Sound Tropospheric Ozone Study</w:t>
            </w:r>
          </w:p>
        </w:tc>
      </w:tr>
      <w:tr w:rsidR="006B7DBB" w14:paraId="62113B05" w14:textId="77777777" w:rsidTr="00DC6983">
        <w:tc>
          <w:tcPr>
            <w:tcW w:w="2515" w:type="dxa"/>
          </w:tcPr>
          <w:p w14:paraId="7C882627" w14:textId="0712093A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LMOL</w:t>
            </w:r>
          </w:p>
        </w:tc>
        <w:tc>
          <w:tcPr>
            <w:tcW w:w="7740" w:type="dxa"/>
          </w:tcPr>
          <w:p w14:paraId="0E2CA70C" w14:textId="6BB4481B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Langley Mobile Ozone Lidar</w:t>
            </w:r>
          </w:p>
        </w:tc>
      </w:tr>
      <w:tr w:rsidR="006B7DBB" w14:paraId="4C7238EA" w14:textId="77777777" w:rsidTr="00DC6983">
        <w:tc>
          <w:tcPr>
            <w:tcW w:w="2515" w:type="dxa"/>
          </w:tcPr>
          <w:p w14:paraId="48BFED94" w14:textId="2115D5DC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NASA</w:t>
            </w:r>
          </w:p>
        </w:tc>
        <w:tc>
          <w:tcPr>
            <w:tcW w:w="7740" w:type="dxa"/>
          </w:tcPr>
          <w:p w14:paraId="060A191E" w14:textId="2E1AB661" w:rsidR="006B7DBB" w:rsidRDefault="006B7DB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Aeronautics and Space Administration</w:t>
            </w:r>
          </w:p>
        </w:tc>
      </w:tr>
      <w:tr w:rsidR="00FE0D71" w14:paraId="367D35EE" w14:textId="77777777" w:rsidTr="00DC6983">
        <w:tc>
          <w:tcPr>
            <w:tcW w:w="2515" w:type="dxa"/>
          </w:tcPr>
          <w:p w14:paraId="0EC3C17C" w14:textId="22FE19FA" w:rsidR="00FE0D71" w:rsidRDefault="00FE0D71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NOAA</w:t>
            </w:r>
          </w:p>
        </w:tc>
        <w:tc>
          <w:tcPr>
            <w:tcW w:w="7740" w:type="dxa"/>
          </w:tcPr>
          <w:p w14:paraId="06E2665A" w14:textId="7EF9B13C" w:rsidR="00FE0D71" w:rsidRDefault="00E3257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Oceanic and Atmospheric Administration</w:t>
            </w:r>
          </w:p>
        </w:tc>
      </w:tr>
      <w:tr w:rsidR="00934C74" w14:paraId="5EE79850" w14:textId="77777777" w:rsidTr="00DC6983">
        <w:tc>
          <w:tcPr>
            <w:tcW w:w="2515" w:type="dxa"/>
          </w:tcPr>
          <w:p w14:paraId="44B20340" w14:textId="52483FAE" w:rsidR="00934C74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OWLETS</w:t>
            </w:r>
          </w:p>
        </w:tc>
        <w:tc>
          <w:tcPr>
            <w:tcW w:w="7740" w:type="dxa"/>
          </w:tcPr>
          <w:p w14:paraId="7C3380F8" w14:textId="7C2F3C1A" w:rsidR="00934C74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Ozone Water-Land Environmental Transition Study</w:t>
            </w:r>
          </w:p>
        </w:tc>
      </w:tr>
      <w:tr w:rsidR="00242628" w14:paraId="28D9DE73" w14:textId="77777777" w:rsidTr="00DC6983">
        <w:tc>
          <w:tcPr>
            <w:tcW w:w="2515" w:type="dxa"/>
          </w:tcPr>
          <w:p w14:paraId="07C1998D" w14:textId="5293AE54" w:rsidR="00242628" w:rsidRDefault="00242628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RO3QET</w:t>
            </w:r>
          </w:p>
        </w:tc>
        <w:tc>
          <w:tcPr>
            <w:tcW w:w="7740" w:type="dxa"/>
          </w:tcPr>
          <w:p w14:paraId="292C7038" w14:textId="6BC90CEF" w:rsidR="00242628" w:rsidRDefault="000406F2" w:rsidP="00C618CF">
            <w:pPr>
              <w:rPr>
                <w:sz w:val="24"/>
                <w:szCs w:val="24"/>
              </w:rPr>
            </w:pPr>
            <w:r w:rsidRPr="000406F2">
              <w:rPr>
                <w:sz w:val="24"/>
                <w:szCs w:val="24"/>
              </w:rPr>
              <w:t>Rocket-city O3 Quality Evaluation in the Troposphere</w:t>
            </w:r>
          </w:p>
        </w:tc>
      </w:tr>
      <w:tr w:rsidR="00242628" w14:paraId="0191A16D" w14:textId="77777777" w:rsidTr="00DC6983">
        <w:tc>
          <w:tcPr>
            <w:tcW w:w="2515" w:type="dxa"/>
          </w:tcPr>
          <w:p w14:paraId="7EEC3424" w14:textId="48C5449E" w:rsidR="00242628" w:rsidRDefault="00242628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SMOL</w:t>
            </w:r>
          </w:p>
        </w:tc>
        <w:tc>
          <w:tcPr>
            <w:tcW w:w="7740" w:type="dxa"/>
          </w:tcPr>
          <w:p w14:paraId="469948FB" w14:textId="33B5C990" w:rsidR="00242628" w:rsidRDefault="003A58F4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Small Mobile Ozone Lidar</w:t>
            </w:r>
          </w:p>
        </w:tc>
      </w:tr>
      <w:tr w:rsidR="00DC6983" w14:paraId="6A027444" w14:textId="77777777" w:rsidTr="00DC6983">
        <w:tc>
          <w:tcPr>
            <w:tcW w:w="2515" w:type="dxa"/>
          </w:tcPr>
          <w:p w14:paraId="3ED41064" w14:textId="6FA638A7" w:rsidR="00DC6983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STAQS</w:t>
            </w:r>
          </w:p>
        </w:tc>
        <w:tc>
          <w:tcPr>
            <w:tcW w:w="7740" w:type="dxa"/>
          </w:tcPr>
          <w:p w14:paraId="6885A471" w14:textId="03651B91" w:rsidR="00DC6983" w:rsidRDefault="00033EBC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Synergistic TEMPO Air Quality Science</w:t>
            </w:r>
          </w:p>
        </w:tc>
      </w:tr>
      <w:tr w:rsidR="00033EBC" w14:paraId="1105D41D" w14:textId="77777777" w:rsidTr="00DC6983">
        <w:tc>
          <w:tcPr>
            <w:tcW w:w="2515" w:type="dxa"/>
          </w:tcPr>
          <w:p w14:paraId="250D64CF" w14:textId="1E0DC304" w:rsidR="00033EBC" w:rsidRDefault="00033EBC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TEMPO</w:t>
            </w:r>
          </w:p>
        </w:tc>
        <w:tc>
          <w:tcPr>
            <w:tcW w:w="7740" w:type="dxa"/>
          </w:tcPr>
          <w:p w14:paraId="0DE122EF" w14:textId="3E73B7A0" w:rsidR="00033EBC" w:rsidRDefault="00033EBC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Tropospheric Emissions: Monitoring of Pollution</w:t>
            </w:r>
          </w:p>
        </w:tc>
      </w:tr>
      <w:tr w:rsidR="00FE0D71" w14:paraId="43876A8E" w14:textId="77777777" w:rsidTr="00DC6983">
        <w:tc>
          <w:tcPr>
            <w:tcW w:w="2515" w:type="dxa"/>
          </w:tcPr>
          <w:p w14:paraId="352F4FA9" w14:textId="34E27BB4" w:rsidR="00FE0D71" w:rsidRDefault="00FE0D71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TMF</w:t>
            </w:r>
          </w:p>
        </w:tc>
        <w:tc>
          <w:tcPr>
            <w:tcW w:w="7740" w:type="dxa"/>
          </w:tcPr>
          <w:p w14:paraId="730FE314" w14:textId="5B61EDC1" w:rsidR="00FE0D71" w:rsidRDefault="00E3257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 Mountain Facility</w:t>
            </w:r>
          </w:p>
        </w:tc>
      </w:tr>
      <w:tr w:rsidR="00DC6983" w14:paraId="1CAF4542" w14:textId="77777777" w:rsidTr="00DC6983">
        <w:tc>
          <w:tcPr>
            <w:tcW w:w="2515" w:type="dxa"/>
          </w:tcPr>
          <w:p w14:paraId="0A343FBB" w14:textId="30BECFCB" w:rsidR="00DC6983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TOLNet</w:t>
            </w:r>
          </w:p>
        </w:tc>
        <w:tc>
          <w:tcPr>
            <w:tcW w:w="7740" w:type="dxa"/>
          </w:tcPr>
          <w:p w14:paraId="117DA853" w14:textId="1F0BFC8B" w:rsidR="00DC6983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Tropospheric Ozone Lidar Network</w:t>
            </w:r>
          </w:p>
        </w:tc>
      </w:tr>
      <w:tr w:rsidR="000406F2" w14:paraId="07F02E22" w14:textId="77777777" w:rsidTr="00DC6983">
        <w:tc>
          <w:tcPr>
            <w:tcW w:w="2515" w:type="dxa"/>
          </w:tcPr>
          <w:p w14:paraId="3C33DD0B" w14:textId="6E36D38D" w:rsidR="000406F2" w:rsidRDefault="000406F2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TOPAZ</w:t>
            </w:r>
          </w:p>
        </w:tc>
        <w:tc>
          <w:tcPr>
            <w:tcW w:w="7740" w:type="dxa"/>
          </w:tcPr>
          <w:p w14:paraId="2CB3C743" w14:textId="5F1CE6DB" w:rsidR="000406F2" w:rsidRDefault="00E3257B" w:rsidP="00C618CF">
            <w:pPr>
              <w:rPr>
                <w:sz w:val="24"/>
                <w:szCs w:val="24"/>
              </w:rPr>
            </w:pPr>
            <w:r w:rsidRPr="00E3257B">
              <w:rPr>
                <w:sz w:val="24"/>
                <w:szCs w:val="24"/>
              </w:rPr>
              <w:t xml:space="preserve">Tunable Optical Profile for Aerosol and </w:t>
            </w:r>
            <w:proofErr w:type="spellStart"/>
            <w:r w:rsidRPr="00E3257B">
              <w:rPr>
                <w:sz w:val="24"/>
                <w:szCs w:val="24"/>
              </w:rPr>
              <w:t>oZone</w:t>
            </w:r>
            <w:proofErr w:type="spellEnd"/>
          </w:p>
        </w:tc>
      </w:tr>
      <w:tr w:rsidR="00DC6983" w14:paraId="492D07A0" w14:textId="77777777" w:rsidTr="00DC6983">
        <w:tc>
          <w:tcPr>
            <w:tcW w:w="2515" w:type="dxa"/>
          </w:tcPr>
          <w:p w14:paraId="7F6D9AE1" w14:textId="46AD6081" w:rsidR="00DC6983" w:rsidRDefault="00DC6983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TRACER-AQ</w:t>
            </w:r>
          </w:p>
        </w:tc>
        <w:tc>
          <w:tcPr>
            <w:tcW w:w="7740" w:type="dxa"/>
          </w:tcPr>
          <w:p w14:paraId="2ADBB149" w14:textId="306A4E2C" w:rsidR="00DC6983" w:rsidRDefault="00E52900" w:rsidP="00C618CF">
            <w:pPr>
              <w:rPr>
                <w:sz w:val="24"/>
                <w:szCs w:val="24"/>
              </w:rPr>
            </w:pPr>
            <w:r w:rsidRPr="00E52900">
              <w:rPr>
                <w:sz w:val="24"/>
                <w:szCs w:val="24"/>
              </w:rPr>
              <w:t xml:space="preserve">Tracking Aerosol Convection </w:t>
            </w:r>
            <w:proofErr w:type="spellStart"/>
            <w:r w:rsidRPr="00E52900">
              <w:rPr>
                <w:sz w:val="24"/>
                <w:szCs w:val="24"/>
              </w:rPr>
              <w:t>ExpeRiment</w:t>
            </w:r>
            <w:proofErr w:type="spellEnd"/>
            <w:r w:rsidRPr="00E52900">
              <w:rPr>
                <w:sz w:val="24"/>
                <w:szCs w:val="24"/>
              </w:rPr>
              <w:t xml:space="preserve"> – Air Quality</w:t>
            </w:r>
          </w:p>
        </w:tc>
      </w:tr>
      <w:tr w:rsidR="00E45BCD" w14:paraId="0A1D9CCD" w14:textId="77777777" w:rsidTr="00DC6983">
        <w:tc>
          <w:tcPr>
            <w:tcW w:w="2515" w:type="dxa"/>
          </w:tcPr>
          <w:p w14:paraId="061121FD" w14:textId="6F999D08" w:rsidR="00E45BCD" w:rsidRDefault="00E45BCD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TROPOZ</w:t>
            </w:r>
          </w:p>
        </w:tc>
        <w:tc>
          <w:tcPr>
            <w:tcW w:w="7740" w:type="dxa"/>
          </w:tcPr>
          <w:p w14:paraId="5A51AB18" w14:textId="6B93971F" w:rsidR="00E45BCD" w:rsidRPr="00E52900" w:rsidRDefault="00E45BCD" w:rsidP="00C618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TROPospheric</w:t>
            </w:r>
            <w:proofErr w:type="spellEnd"/>
            <w:r>
              <w:rPr>
                <w:sz w:val="24"/>
                <w:szCs w:val="24"/>
              </w:rPr>
              <w:t xml:space="preserve"> Ozone DIAL</w:t>
            </w:r>
          </w:p>
        </w:tc>
      </w:tr>
      <w:tr w:rsidR="00FE0D71" w14:paraId="3F4B9EB7" w14:textId="77777777" w:rsidTr="00DC6983">
        <w:tc>
          <w:tcPr>
            <w:tcW w:w="2515" w:type="dxa"/>
          </w:tcPr>
          <w:p w14:paraId="4B9DD1A0" w14:textId="561F72FF" w:rsidR="00FE0D71" w:rsidRDefault="00FE0D71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UAH</w:t>
            </w:r>
          </w:p>
        </w:tc>
        <w:tc>
          <w:tcPr>
            <w:tcW w:w="7740" w:type="dxa"/>
          </w:tcPr>
          <w:p w14:paraId="007FBB93" w14:textId="26C7B817" w:rsidR="00FE0D71" w:rsidRDefault="00E3257B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Alabama in Huntsville</w:t>
            </w:r>
          </w:p>
        </w:tc>
      </w:tr>
      <w:tr w:rsidR="009150FF" w14:paraId="7614F887" w14:textId="77777777" w:rsidTr="00DC6983">
        <w:tc>
          <w:tcPr>
            <w:tcW w:w="2515" w:type="dxa"/>
          </w:tcPr>
          <w:p w14:paraId="67A49719" w14:textId="44997068" w:rsidR="009150FF" w:rsidRDefault="009150FF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UMBC</w:t>
            </w:r>
          </w:p>
        </w:tc>
        <w:tc>
          <w:tcPr>
            <w:tcW w:w="7740" w:type="dxa"/>
          </w:tcPr>
          <w:p w14:paraId="3045853B" w14:textId="5DF9FE74" w:rsidR="009150FF" w:rsidRDefault="009150FF" w:rsidP="00C618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Maryland, Baltimore County</w:t>
            </w:r>
          </w:p>
        </w:tc>
      </w:tr>
    </w:tbl>
    <w:p w14:paraId="65248CF0" w14:textId="77777777" w:rsidR="00B06069" w:rsidRPr="00276C61" w:rsidRDefault="00B06069" w:rsidP="00C618CF">
      <w:pPr>
        <w:rPr>
          <w:sz w:val="24"/>
          <w:szCs w:val="24"/>
        </w:rPr>
      </w:pPr>
    </w:p>
    <w:sectPr w:rsidR="00B06069" w:rsidRPr="00276C61" w:rsidSect="005213F0">
      <w:footerReference w:type="default" r:id="rId2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7A49" w14:textId="77777777" w:rsidR="00326ACF" w:rsidRDefault="00326ACF" w:rsidP="00D8003C">
      <w:pPr>
        <w:spacing w:after="0" w:line="240" w:lineRule="auto"/>
      </w:pPr>
      <w:r>
        <w:separator/>
      </w:r>
    </w:p>
  </w:endnote>
  <w:endnote w:type="continuationSeparator" w:id="0">
    <w:p w14:paraId="463F956F" w14:textId="77777777" w:rsidR="00326ACF" w:rsidRDefault="00326ACF" w:rsidP="00D8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DBF7" w14:textId="61D1AE0B" w:rsidR="00D8003C" w:rsidRDefault="00D8003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0ED64E" wp14:editId="0224C350">
          <wp:simplePos x="0" y="0"/>
          <wp:positionH relativeFrom="margin">
            <wp:align>center</wp:align>
          </wp:positionH>
          <wp:positionV relativeFrom="paragraph">
            <wp:posOffset>55928</wp:posOffset>
          </wp:positionV>
          <wp:extent cx="4111625" cy="517525"/>
          <wp:effectExtent l="0" t="0" r="3175" b="0"/>
          <wp:wrapTight wrapText="bothSides">
            <wp:wrapPolygon edited="0">
              <wp:start x="0" y="0"/>
              <wp:lineTo x="0" y="20672"/>
              <wp:lineTo x="21517" y="20672"/>
              <wp:lineTo x="21517" y="0"/>
              <wp:lineTo x="0" y="0"/>
            </wp:wrapPolygon>
          </wp:wrapTight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162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2D464" w14:textId="761013BA" w:rsidR="00D8003C" w:rsidRDefault="00D80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AFA1F" w14:textId="77777777" w:rsidR="00326ACF" w:rsidRDefault="00326ACF" w:rsidP="00D8003C">
      <w:pPr>
        <w:spacing w:after="0" w:line="240" w:lineRule="auto"/>
      </w:pPr>
      <w:r>
        <w:separator/>
      </w:r>
    </w:p>
  </w:footnote>
  <w:footnote w:type="continuationSeparator" w:id="0">
    <w:p w14:paraId="3070BFA6" w14:textId="77777777" w:rsidR="00326ACF" w:rsidRDefault="00326ACF" w:rsidP="00D80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25"/>
    <w:rsid w:val="00006325"/>
    <w:rsid w:val="00033EBC"/>
    <w:rsid w:val="000406F2"/>
    <w:rsid w:val="00040C14"/>
    <w:rsid w:val="001125F3"/>
    <w:rsid w:val="001132C1"/>
    <w:rsid w:val="00132C67"/>
    <w:rsid w:val="001757B7"/>
    <w:rsid w:val="001C2469"/>
    <w:rsid w:val="002142F7"/>
    <w:rsid w:val="002417F5"/>
    <w:rsid w:val="00242628"/>
    <w:rsid w:val="00276C61"/>
    <w:rsid w:val="002801FB"/>
    <w:rsid w:val="00307CE4"/>
    <w:rsid w:val="00324F1A"/>
    <w:rsid w:val="00326ACF"/>
    <w:rsid w:val="0032791A"/>
    <w:rsid w:val="0038536E"/>
    <w:rsid w:val="003A58F4"/>
    <w:rsid w:val="003F4746"/>
    <w:rsid w:val="004326C2"/>
    <w:rsid w:val="004907E2"/>
    <w:rsid w:val="0049350F"/>
    <w:rsid w:val="00497870"/>
    <w:rsid w:val="005213F0"/>
    <w:rsid w:val="00521A7F"/>
    <w:rsid w:val="00560545"/>
    <w:rsid w:val="005A32BE"/>
    <w:rsid w:val="005A6C88"/>
    <w:rsid w:val="00601B6F"/>
    <w:rsid w:val="00614BC4"/>
    <w:rsid w:val="006B7DBB"/>
    <w:rsid w:val="006C1C40"/>
    <w:rsid w:val="007D6BA0"/>
    <w:rsid w:val="008241DB"/>
    <w:rsid w:val="00824A9F"/>
    <w:rsid w:val="00831F37"/>
    <w:rsid w:val="008A6D19"/>
    <w:rsid w:val="008F4B06"/>
    <w:rsid w:val="009150FF"/>
    <w:rsid w:val="00934C74"/>
    <w:rsid w:val="00942A65"/>
    <w:rsid w:val="00990D3D"/>
    <w:rsid w:val="009D2E86"/>
    <w:rsid w:val="009E3EB7"/>
    <w:rsid w:val="00A236AE"/>
    <w:rsid w:val="00AE04F9"/>
    <w:rsid w:val="00B06069"/>
    <w:rsid w:val="00B127D2"/>
    <w:rsid w:val="00BA0E09"/>
    <w:rsid w:val="00C618CF"/>
    <w:rsid w:val="00CC4556"/>
    <w:rsid w:val="00CD37FF"/>
    <w:rsid w:val="00D16225"/>
    <w:rsid w:val="00D32E65"/>
    <w:rsid w:val="00D8003C"/>
    <w:rsid w:val="00DA2003"/>
    <w:rsid w:val="00DC6983"/>
    <w:rsid w:val="00E3257B"/>
    <w:rsid w:val="00E439DC"/>
    <w:rsid w:val="00E45BCD"/>
    <w:rsid w:val="00E462A9"/>
    <w:rsid w:val="00E52900"/>
    <w:rsid w:val="00EA69D2"/>
    <w:rsid w:val="00FB112F"/>
    <w:rsid w:val="00FC4584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0F777"/>
  <w15:chartTrackingRefBased/>
  <w15:docId w15:val="{A68BC32F-88D4-4032-9C2E-DD79A80B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5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36E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417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8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03C"/>
  </w:style>
  <w:style w:type="paragraph" w:styleId="Footer">
    <w:name w:val="footer"/>
    <w:basedOn w:val="Normal"/>
    <w:link w:val="FooterChar"/>
    <w:uiPriority w:val="99"/>
    <w:unhideWhenUsed/>
    <w:rsid w:val="00D80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03C"/>
  </w:style>
  <w:style w:type="character" w:styleId="CommentReference">
    <w:name w:val="annotation reference"/>
    <w:basedOn w:val="DefaultParagraphFont"/>
    <w:uiPriority w:val="99"/>
    <w:semiHidden/>
    <w:unhideWhenUsed/>
    <w:rsid w:val="00112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dc.larc.nasa.gov/soot/power-user/OWLETS/2017/LARC-LIDAR" TargetMode="External"/><Relationship Id="rId13" Type="http://schemas.openxmlformats.org/officeDocument/2006/relationships/hyperlink" Target="https://asdc.larc.nasa.gov/project/LISTOS/LISTOS_Ground_Westport_Data_1" TargetMode="External"/><Relationship Id="rId18" Type="http://schemas.openxmlformats.org/officeDocument/2006/relationships/hyperlink" Target="https://asdc.larc.nasa.gov/project/KORUS-AQ/KORUSAQ_Ground_NASA_Data_1" TargetMode="External"/><Relationship Id="rId26" Type="http://schemas.openxmlformats.org/officeDocument/2006/relationships/hyperlink" Target="https://asdc.larc.nasa.gov/project/TOLNet/TOLNet_UAH_Data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sdc.larc.nasa.gov/project/TOLNet/TOLNet_CCNY_Data_1" TargetMode="External"/><Relationship Id="rId7" Type="http://schemas.openxmlformats.org/officeDocument/2006/relationships/hyperlink" Target="https://asdc.larc.nasa.gov/soot/power-user/OWLETS/2017/GSFC-LIDAR" TargetMode="External"/><Relationship Id="rId12" Type="http://schemas.openxmlformats.org/officeDocument/2006/relationships/hyperlink" Target="https://asdc.larc.nasa.gov/soot/power-user/LISTOS/2018/GROUND-RUTGERS" TargetMode="External"/><Relationship Id="rId17" Type="http://schemas.openxmlformats.org/officeDocument/2006/relationships/hyperlink" Target="https://asdc.larc.nasa.gov/soot/power-user/DISCOVERAQ/2014-CO/GROUND-BAO-TOWER" TargetMode="External"/><Relationship Id="rId25" Type="http://schemas.openxmlformats.org/officeDocument/2006/relationships/hyperlink" Target="https://asdc.larc.nasa.gov/project/TOLNet/TOLNet_CSL_Data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sdc.larc.nasa.gov/project/TOLNet/TOLNet_CSL_Data_1" TargetMode="External"/><Relationship Id="rId20" Type="http://schemas.openxmlformats.org/officeDocument/2006/relationships/hyperlink" Target="https://asdc.larc.nasa.gov/project/TOLNet/TOLNet_LaRC_Data_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sdc.larc.nasa.gov/project/OWLETS/OWLETS1_SurfaceLidar_Data_1" TargetMode="External"/><Relationship Id="rId11" Type="http://schemas.openxmlformats.org/officeDocument/2006/relationships/hyperlink" Target="https://asdc.larc.nasa.gov/project/LISTOS/LISTOS_Ground_Rutgers_Data_1" TargetMode="External"/><Relationship Id="rId24" Type="http://schemas.openxmlformats.org/officeDocument/2006/relationships/hyperlink" Target="https://asdc.larc.nasa.gov/project/TOLNet/TOLNet_LaRC_Data_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sdc.larc.nasa.gov/project/TOLNet/TOLNet_GSFC_Data_1" TargetMode="External"/><Relationship Id="rId23" Type="http://schemas.openxmlformats.org/officeDocument/2006/relationships/hyperlink" Target="https://asdc.larc.nasa.gov/project/TOLNet/TOLNet_JPL_Data_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asdc.larc.nasa.gov/soot/power-user/OWLETS/2018/OZONE-LIDAR" TargetMode="External"/><Relationship Id="rId19" Type="http://schemas.openxmlformats.org/officeDocument/2006/relationships/hyperlink" Target="https://asdc.larc.nasa.gov/project/TOLNet/TOLNet_GSFC_Data_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dc.larc.nasa.gov/project/OWLETS/OWLETS2_SurfaceLidar_Data_1" TargetMode="External"/><Relationship Id="rId14" Type="http://schemas.openxmlformats.org/officeDocument/2006/relationships/hyperlink" Target="https://asdc.larc.nasa.gov/soot/power-user/LISTOS/2018/GROUND-WESTPORT" TargetMode="External"/><Relationship Id="rId22" Type="http://schemas.openxmlformats.org/officeDocument/2006/relationships/hyperlink" Target="https://asdc.larc.nasa.gov/project/TOLNet/TOLNet_GSFC_Data_1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Buzanowicz, Megan E. (LARC-E301)[RSES]</dc:creator>
  <cp:keywords/>
  <dc:description/>
  <cp:lastModifiedBy>Buzanowicz, Megan E. (LARC-E301)[RSES]</cp:lastModifiedBy>
  <cp:revision>38</cp:revision>
  <dcterms:created xsi:type="dcterms:W3CDTF">2023-10-13T16:02:00Z</dcterms:created>
  <dcterms:modified xsi:type="dcterms:W3CDTF">2024-07-09T16:58:00Z</dcterms:modified>
</cp:coreProperties>
</file>